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9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1727"/>
        <w:gridCol w:w="2163"/>
        <w:gridCol w:w="1950"/>
        <w:gridCol w:w="1853"/>
        <w:gridCol w:w="1840"/>
        <w:gridCol w:w="3367"/>
      </w:tblGrid>
      <w:tr w:rsidR="00721363" w:rsidRPr="00A7337A" w:rsidTr="00835338">
        <w:trPr>
          <w:tblCellSpacing w:w="0" w:type="dxa"/>
        </w:trPr>
        <w:tc>
          <w:tcPr>
            <w:tcW w:w="172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966"/>
          </w:tcPr>
          <w:p w:rsidR="00721363" w:rsidRPr="00647EED" w:rsidRDefault="00721363" w:rsidP="00835338">
            <w:pPr>
              <w:pageBreakBefore/>
              <w:spacing w:before="100" w:beforeAutospacing="1" w:after="119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AREA GENERALE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</w:t>
            </w:r>
            <w:r w:rsidRPr="00647EED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  </w:t>
            </w:r>
            <w:proofErr w:type="gramEnd"/>
            <w:r w:rsidRPr="00647EED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1173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D966"/>
          </w:tcPr>
          <w:p w:rsidR="00721363" w:rsidRPr="00CA0DB5" w:rsidRDefault="00721363" w:rsidP="00835338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721363" w:rsidRPr="00CA0DB5" w:rsidRDefault="00721363" w:rsidP="00835338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A0DB5">
              <w:rPr>
                <w:rFonts w:ascii="Times New Roman" w:hAnsi="Times New Roman"/>
                <w:sz w:val="24"/>
                <w:szCs w:val="24"/>
                <w:lang w:eastAsia="it-IT"/>
              </w:rPr>
              <w:t>PIANIFICAZIONE URBANISTICA</w:t>
            </w:r>
          </w:p>
          <w:p w:rsidR="00721363" w:rsidRPr="00CA0DB5" w:rsidRDefault="00721363" w:rsidP="00835338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721363" w:rsidRPr="00CA0DB5" w:rsidRDefault="00721363" w:rsidP="00835338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721363" w:rsidRPr="00A7337A" w:rsidTr="00835338">
        <w:trPr>
          <w:tblCellSpacing w:w="0" w:type="dxa"/>
        </w:trPr>
        <w:tc>
          <w:tcPr>
            <w:tcW w:w="172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1363" w:rsidRPr="00CA0DB5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A0DB5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Processi e procedimenti rilevanti </w:t>
            </w:r>
          </w:p>
        </w:tc>
        <w:tc>
          <w:tcPr>
            <w:tcW w:w="21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1363" w:rsidRPr="00CA0DB5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A0DB5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Individuazione fattori di rischio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1363" w:rsidRPr="00CA0DB5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A0DB5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Anomalie </w:t>
            </w:r>
            <w:proofErr w:type="gramStart"/>
            <w:r w:rsidRPr="00CA0DB5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significative</w:t>
            </w:r>
            <w:proofErr w:type="gramEnd"/>
          </w:p>
        </w:tc>
        <w:tc>
          <w:tcPr>
            <w:tcW w:w="18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1363" w:rsidRPr="00CA0DB5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A0DB5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Indicatori </w:t>
            </w:r>
          </w:p>
        </w:tc>
        <w:tc>
          <w:tcPr>
            <w:tcW w:w="1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1363" w:rsidRPr="00CA0DB5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A0DB5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Misure di prevenzione</w:t>
            </w:r>
          </w:p>
        </w:tc>
        <w:tc>
          <w:tcPr>
            <w:tcW w:w="33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21363" w:rsidRPr="00CA0DB5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A0DB5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Eventuale tempistica per attuazione delle misure </w:t>
            </w:r>
          </w:p>
        </w:tc>
      </w:tr>
      <w:tr w:rsidR="00721363" w:rsidRPr="00A7337A" w:rsidTr="00835338">
        <w:trPr>
          <w:tblCellSpacing w:w="0" w:type="dxa"/>
        </w:trPr>
        <w:tc>
          <w:tcPr>
            <w:tcW w:w="172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1363" w:rsidRPr="00E83A7C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 w:rsidRPr="00E83A7C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Conferimento incarichi per attività di pianificazione, sia generale </w:t>
            </w:r>
            <w:proofErr w:type="gramStart"/>
            <w:r w:rsidRPr="00E83A7C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che</w:t>
            </w:r>
            <w:proofErr w:type="gramEnd"/>
            <w:r w:rsidRPr="00E83A7C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attuativa  </w:t>
            </w:r>
          </w:p>
        </w:tc>
        <w:tc>
          <w:tcPr>
            <w:tcW w:w="21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Favoritismi </w:t>
            </w:r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Situazioni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di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incompatibilità e/o di conflitto di interesse</w:t>
            </w:r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Ingerenza</w:t>
            </w:r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Rischio di perseguire interessi particolari e non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generali</w:t>
            </w:r>
            <w:proofErr w:type="gramEnd"/>
          </w:p>
          <w:p w:rsidR="00721363" w:rsidRPr="00CA0DB5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Eccessiva frammentazione degli incarichi</w:t>
            </w:r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Scelte incoerenti con precedenti atti</w:t>
            </w:r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Ricorso a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numerose varianti</w:t>
            </w:r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721363" w:rsidRPr="00CA0DB5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8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Insussistenza /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carenza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di motivazione </w:t>
            </w:r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Illogicità delle scelte</w:t>
            </w:r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721363" w:rsidRPr="00CA0DB5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Impugnazioni e ricorsi</w:t>
            </w:r>
          </w:p>
        </w:tc>
        <w:tc>
          <w:tcPr>
            <w:tcW w:w="1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Istituzione di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appositi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albi </w:t>
            </w:r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Acquisizione curricula </w:t>
            </w:r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Rotazione degli incarichi</w:t>
            </w:r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721363" w:rsidRPr="00CA0DB5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Pubblicazione ai sensi dell’art.39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D.Lgs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33/2013 e successive modificazioni su amministrazione 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 xml:space="preserve">trasparente  </w:t>
            </w:r>
          </w:p>
        </w:tc>
        <w:tc>
          <w:tcPr>
            <w:tcW w:w="33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21363" w:rsidRPr="00CA0DB5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721363" w:rsidRPr="00A7337A" w:rsidTr="00835338">
        <w:trPr>
          <w:tblCellSpacing w:w="0" w:type="dxa"/>
        </w:trPr>
        <w:tc>
          <w:tcPr>
            <w:tcW w:w="172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1363" w:rsidRPr="00E83A7C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 w:rsidRPr="00E83A7C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lastRenderedPageBreak/>
              <w:t xml:space="preserve">Varianti urbanistiche </w:t>
            </w:r>
          </w:p>
        </w:tc>
        <w:tc>
          <w:tcPr>
            <w:tcW w:w="21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Rischio di perseguire interessi particolari e non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generali</w:t>
            </w:r>
            <w:proofErr w:type="gramEnd"/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721363" w:rsidRPr="00CA0DB5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Eccessiva frammentazione degli incarichi</w:t>
            </w:r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Scelte incoerenti con precedenti atti</w:t>
            </w:r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Ricorso a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numerose varianti</w:t>
            </w:r>
          </w:p>
          <w:p w:rsidR="00721363" w:rsidRPr="00CA0DB5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8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Illogicità delle scelte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in rapporto ad atti precedenti</w:t>
            </w:r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Insussistenza /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carenza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di motivazione </w:t>
            </w:r>
          </w:p>
          <w:p w:rsidR="00721363" w:rsidRPr="00CA0DB5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1363" w:rsidRPr="00CA0DB5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Verifica sussistenza della necessità delle varianti per il conseguimento dell’interesse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generale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33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21363" w:rsidRPr="00CA0DB5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721363" w:rsidRPr="00A7337A" w:rsidTr="00835338">
        <w:trPr>
          <w:tblCellSpacing w:w="0" w:type="dxa"/>
        </w:trPr>
        <w:tc>
          <w:tcPr>
            <w:tcW w:w="172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1363" w:rsidRPr="005E0A4F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 w:rsidRPr="005E0A4F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Edilizia convenzionata </w:t>
            </w:r>
          </w:p>
          <w:p w:rsidR="00721363" w:rsidRPr="00CA0DB5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e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</w:t>
            </w:r>
            <w:r w:rsidRPr="005E0A4F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lottizzazioni ad iniziativa privata</w:t>
            </w:r>
          </w:p>
        </w:tc>
        <w:tc>
          <w:tcPr>
            <w:tcW w:w="21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Prevalenza degli interessi privati su quelli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pubblici</w:t>
            </w:r>
            <w:proofErr w:type="gramEnd"/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Disparità di trattamento</w:t>
            </w:r>
          </w:p>
          <w:p w:rsidR="00721363" w:rsidRPr="00CA0DB5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Insufficienti stime sui costi degli interventi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Difficoltà nella realizzazione degli interventi neri tempi concordati</w:t>
            </w:r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721363" w:rsidRPr="00CA0DB5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Assenza di provvedimenti sanzionatori</w:t>
            </w:r>
          </w:p>
        </w:tc>
        <w:tc>
          <w:tcPr>
            <w:tcW w:w="18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Irragionevolezza delle scelte </w:t>
            </w:r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Eccessiva dilatazione dei tempi di realizzazione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degli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interventi </w:t>
            </w:r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Presenza di norme ad hoc nelle convenzioni stipulate </w:t>
            </w:r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Assenza di monitoraggi periodici sull’andamento degli interventi</w:t>
            </w:r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Richieste di variante </w:t>
            </w:r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721363" w:rsidRPr="00CA0DB5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 xml:space="preserve">Adozione di modelli standard di convenzioni urbanistiche </w:t>
            </w:r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Determinazione e pubblicazione costi oneri di urbanizzazione primaria e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secondaria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Uniformità di valutazione nel caso di ricorso alla 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 xml:space="preserve">monetizzazione in luogo della cessione </w:t>
            </w:r>
            <w:proofErr w:type="gramEnd"/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721363" w:rsidRPr="00CA0DB5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Inserimento di clausole </w:t>
            </w:r>
          </w:p>
        </w:tc>
        <w:tc>
          <w:tcPr>
            <w:tcW w:w="33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>Adozione di con</w:t>
            </w:r>
            <w:r w:rsidR="00154C14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venzioni standard </w:t>
            </w:r>
            <w:bookmarkStart w:id="0" w:name="_GoBack"/>
            <w:bookmarkEnd w:id="0"/>
          </w:p>
          <w:p w:rsidR="00721363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721363" w:rsidRPr="00CA0DB5" w:rsidRDefault="00721363" w:rsidP="00835338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Determinazione di parametri di stima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del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costo delle opere</w:t>
            </w:r>
          </w:p>
        </w:tc>
      </w:tr>
    </w:tbl>
    <w:p w:rsidR="00721363" w:rsidRDefault="00721363" w:rsidP="00721363"/>
    <w:p w:rsidR="002E0288" w:rsidRDefault="002E0288"/>
    <w:sectPr w:rsidR="002E0288" w:rsidSect="00CA0DB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363"/>
    <w:rsid w:val="00154C14"/>
    <w:rsid w:val="002E0288"/>
    <w:rsid w:val="0072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2136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2136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Baule</dc:creator>
  <cp:lastModifiedBy>Natalina Baule</cp:lastModifiedBy>
  <cp:revision>2</cp:revision>
  <dcterms:created xsi:type="dcterms:W3CDTF">2019-01-04T11:46:00Z</dcterms:created>
  <dcterms:modified xsi:type="dcterms:W3CDTF">2019-01-04T11:46:00Z</dcterms:modified>
</cp:coreProperties>
</file>